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130 vom 3. Juni 1983</w:t>
      </w:r>
    </w:p>
    <w:p>
      <w:r>
        <w:t>Bundesgericht (BGE), 1983-06-03, DE</w:t>
      </w:r>
    </w:p>
    <w:p>
      <w:r>
        <w:rPr>
          <w:b/>
        </w:rPr>
        <w:t xml:space="preserve">Quelle: </w:t>
      </w:r>
      <w:r>
        <w:t>https://mcp.opencaselaw.ch/entscheid/bge_109 IB 130</w:t>
      </w:r>
    </w:p>
    <w:p>
      <w:r>
        <w:t>FR: BGE 109 IB 130 du 3 juin 1983</w:t>
      </w:r>
    </w:p>
    <w:p>
      <w:r>
        <w:t>IT: BGE 109 IB 130 del 3 giugno 1983</w:t>
      </w:r>
    </w:p>
    <w:p>
      <w:pPr>
        <w:pStyle w:val="Heading2"/>
      </w:pPr>
      <w:r>
        <w:t>Regeste</w:t>
      </w:r>
    </w:p>
    <w:p>
      <w:r>
        <w:t>Regeste Befugnis zur Einleitung eines Enteignungsverfahrens; Aussteckung. Prozessuales (E. 1). Die Rüge, es seien nicht alle materiell- und formellrechtlichen Bedingungen für die Einleitung eines Enteignungsverfahrens erfüllt, ist im Einspracheverfahren zu erheben (Bestätigung der Rechtsprechung). Allerdings hat der Präsident der Schätzungskommission vor Eröffnung des Verfahrens summarisch zu prüfen, ob die Voraussetzungen hiezu gegeben seien (E. 2a-c, 3). Das Eidg. Militärdepartement ist aufgrund von Art. 98 des Beschlusses der Bundesversammlung über die Verwaltung der schweizerischen Armee befugt, ein Expropriationsverfahren für den Bau militärischer Anlagen einzuleiten (E. 2d). Zweck der Aussteckung (Art. 28 EntG). Ist die Aussteckung mangelhaft, so kann sie in der Regel während der Planauflage berichtigt oder vervollständigt werden; fehlt sie, so ist die Planauflage in analoger Anwendung von Art. 30 Abs. 4 EntG zu wiederholen (E. 4, 5).</w:t>
      </w:r>
    </w:p>
    <w:p>
      <w:pPr>
        <w:pStyle w:val="Heading2"/>
      </w:pPr>
      <w:r>
        <w:t>Erwägungen</w:t>
      </w:r>
    </w:p>
    <w:p>
      <w:r>
        <w:rPr>
          <w:b/>
        </w:rPr>
        <w:t>E. 1</w:t>
      </w:r>
    </w:p>
    <w:p>
      <w:r>
        <w:t>a) Der Entscheid des Präsidenten der Schätzungskommission ist als Verfügung im Sinne von Art. 5 VwVG gemäss Art. 97 OG grundsätzlich mit Verwaltungsgerichtsbeschwerde anfechtbar. Die Bestimmung von Art. 98 lit. f OG steht - wie das Bundesgericht schon im Entscheid vom 8. Mai 1982 i.S. Bad Schinznach AG (entgegen BGE 100 Ib 184 f.) festgestellt hat - einer solchen Anfechtung nicht entgegen (vgl. auch BGE 99 Ib 113 ). Da es sich jedoch beim angefochtenen Entscheid um eine Zwischenverfügung handelt, kann er nur dann selbständig mit Verwaltungsgerichtsbeschwerde weitergezogen werden, wenn er einen nicht wiedergutzumachenden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101 Ib 15 E. 1, BGE 99 Ib 416 f. E. 1b). Ein solches Interesse darf hier, wo es um die Gültigkeit eines Enteignungs- und Planauflageverfahrens sowie um Verwirkungsfristen geht, aus Gründen der Prozessökonomie und der Rechtssicherheit bejaht werden (vgl. GYGI, Bundesverwaltungsrechtspflege S. 108). BGE 109 Ib 130 S. 133 b) Die Beschwerdeführer sind insofern zur Einreichung einer Verwaltungsgerichtsbeschwerde befugt, als ihre Begehren vom Präsidenten der Schätzungskommission abgewiesen worden sind oder darauf nicht eingetreten worden ist; es braucht daher nicht geprüft zu werden, ob sämtliche Beteiligten von der Expropriation betroffen sind. Übrigens beschränkt sich der Kreis der zur Einsprache Legitimierten seit der Einführung von Art. 48 VwVG und der Revision von Art. 103 OG nicht mehr nur auf die Enteigneten ( BGE 108 Ib 245 ff., 507 E. 3).</w:t>
      </w:r>
    </w:p>
    <w:p>
      <w:r>
        <w:rPr>
          <w:b/>
        </w:rPr>
        <w:t>E. 2</w:t>
      </w:r>
    </w:p>
    <w:p>
      <w:r>
        <w:t>In der Beschwerde wird vorgebracht, der Präsident der Schätzungskommission hätte dem Gesuch des EMD mangels Befugnis des Departementes nicht stattgeben dürfen und habe sich zu Unrecht darauf berufen, dass der Einwand der fehlenden Legitimation auf dem Wege der Einsprache zu erheben sei. a) Nach Lehre und Rechtsprechung kann mit der Einsprache im engeren Sinne ( Art. 35 lit. a EntG ) nicht nur das Vorliegen der materiellen Voraussetzungen zur Ausübung des Enteignungsrechts ( Art. 1 EntG ) bestritten, sondern auch geltend gemacht werden, es fehlten die formellrechtlichen Bedingungen für eine Enteignung (HESS, Das Enteignungsrecht des Bundes, N. 1-10 zu Art. 35 und N. 1-6 zu Art. 3 EntG ; BGE 108 Ib 376 ). Solche Rügen können daher im Anschluss an die Verfahrenseröffnung durch den Schätzungskommissions-Präsidenten nicht mit Verwaltungsgerichtsbeschwerde erhoben werden ( Art. 102 lit. d OG ; BGE 105 Ib 204 , BGE 108 Ib 377 ; GYGI, a.a.O., S. 115 und 172 in fine). b) Allerdings ist einzuräumen, dass der Präsident vor Einleitung der Enteignung summarisch prüfen muss, ob die gesetzlichen Voraussetzungen gegeben seien. Ist dies offensichtlich nicht der Fall, hat er die Eröffnung des Verfahrens zu verweigern; so zum Beispiel, wenn ein vom Werk betroffener Privater Antrag auf Verfahrenseinleitung stellt - ausser er sei gesetzlich hiezu befugt (vgl. BGE 106 Ib 234 E. 2a) -, wenn ein Kanton um Enteignung für den Nationalstrassenbau ersucht, obschon das Ausführungsprojekt noch nicht genehmigt worden ist ( BGE 99 Ib 488 ff.) oder wenn ein Unternehmen die vorzeitige Besitzeinweisung für den Bau elektrischer Leitungen begehrt, bevor es noch zur Enteignung ermächtigt worden ist ( BGE 105 Ib 198 ff.). Wird das Verfahren trotz derart schwerer Mängel eingeleitet, kann es vom Bundesgericht aufsichtsrechtlich aufgehoben werden ( Art. 63 EntG ; BGE 104 Ib 343 ). BGE 109 Ib 130 S. 134 c) Im vorliegenden Fall kann jedoch von solchen Mängeln nicht die Rede sein. Nach Art. 3 Abs. 1 EntG bedarf es zur Ausübung des Enteignungsrechtes durch den Bund eines Beschlusses des Bundesrates, soweit nicht durch die Bundesgesetzgebung eine andere Amtsstelle dazu ermächtigt ist. Nun anerkennen die Beschwerdeführer selbst, dass dem EMD in Art. 98 des Beschlusses der Bundesversammlung über die Verwaltung der schweizerischen Armee (VR) das Recht erteilt wird, Grundstücke oder dingliche Rechte an solchen für militärische Anlagen zu erwerben (Abs. 1) und nötigenfalls zu enteignen (Abs. 2). Aufgrund dieser Bestimmung durfte der Präsident der Schätzungskommission bei seiner vorläufigen Prüfung davon ausgehen, das EMD sei legitimiert, ein Gesuch um Eröffnung des Enteignungsverfahrens zu stellen, und diesem sei zu entsprechen. Anlass zum Einschreiten besteht in dieser Hinsicht jedenfalls nicht. d) Selbst wenn aber anzunehmen wäre, der Präsident hätte seine Prüfung weitertreiben und die Frage der gesetzlichen Ermächtigung des EMD endgültig abklären müssen, könnte der Argumentation der Beschwerdeführer nicht gefolgt werden. Aus prozessökonomischen Gründen rechtfertigt es sich, bereits in diesem Verfahren hiezu einige Bemerkungen anzubringen: Das Verwaltungsreglement für die schweizerische Armee vom 30. März 1949 (SR 510.30), das das EMD zur Einleitung des Enteignungsverfahrens ermächtigt, ist gemäss der vor Inkrafttreten des Geschäftsverkehrsgesetzes befolgten Praxis in Form eines "Beschlusses der Bundesversammlung" erlassen worden. Es stützt sich auf die Militärorganisation der Schweizerischen Eidgenossenschaft (SR 510.10) sowie das Bundesgesetz über die Organisation der Bundesrechtspflege und wurde dem Referendum nicht unterstellt. In der bundesgerichtlichen Rechtsprechung ist bisher offen gelassen worden, ob solche rechtssetzenden Beschlüsse der Bundesversammlung zu den "von der Bundesversammlung erlassenen Gesetze und allgemeinverbindlichen Beschlüssen" zählen, an die das Bundesgericht nach Art. 113 Abs. 3 BV gebunden ist, oder ob sie vom Gericht gleich wie Rechtsverordnungen des Bundesrates auf ihre Rechtsbeständigkeit hin überprüft werden können ( BGE 100 Ib 170 , BGE 104 Ib 424 ). Diese Frage, die auch in der Lehre umstritten ist (AUBERT, Traité de droit constitutionnel suisse, Bd. I S. 176 Nr. 449 d; GRISEL, Le contrôle des ordonnances fédérales, in: Etudes et documents du Conseil d'Etat, Bd. 16/1962 S. 190 N. 9; BRÜHWILER, Die neue BGE 109 Ib 130 S. 135 Verfahrensordnung der Bundesversammlung, ZBl 64/1963 S. 67), braucht in der vorliegenden Sache ebenfalls nicht beantwortet zu werden. Entgegen der Meinung der Beschwerdeführer kann nämlich der Bestimmung von Art. 98 VR, wird von ihrer Überprüfbarkeit ausgegangen, die Recht- und Verfassungsmässigkeit nicht abgesprochen werden. Die Beschwerdeführer übersehen offenbar, dass Art. 98 VR als solcher nicht die gesetzliche Grundlage für die Enteignung zum Bau militärischer Anlagen bildet - diese ist schon durch Art. 1 EntG gegeben -, sondern sich darauf beschränkt, die zur Ausübung des Enteignungsrechtes zuständige Instanz zu bezeichnen. Nun kann das Enteignungsrecht nicht nur vom Bunde selbst ausgeübt, sondern auch an Dritte verliehen werden, und zwar durch Bundesbeschluss für Werke, die im Interesse der Eidgenossenschaft oder eines grossen Teils des Landes liegen ( Art. 3 Abs. 3 lit. a EntG ); dient die Enteignung anderen im öffentlichen Interesse liegenden Zwecken, ist die Ermächtigung durch Bundesgesetz vorzunehmen ( Art. 3 Abs. 2 lit. b EntG ). Genügt aber zur Übertragung des Enteignungsrechts an Dritte für ein Werk wie das hier umstrittene ein einfacher, dem Referendum entzogener Bundesbeschluss (vgl. HESS, a.a.O. N. 7 zu Art. 3 EntG ), so muss ein solcher auch dort genügen, wo es nur darum geht, die Enteignungsbefugnis vom Bundesrat an ein Departement zu delegieren. - Wäre auf die Rüge der fehlenden Legitimation des EMD einzutreten, so müsste sie demnach abgewiesen werden.</w:t>
      </w:r>
    </w:p>
    <w:p>
      <w:r>
        <w:rPr>
          <w:b/>
        </w:rPr>
        <w:t>E. 3</w:t>
      </w:r>
    </w:p>
    <w:p>
      <w:r>
        <w:t>Die weiteren Rügen der Beschwerdeführer, die sich gegen die Einleitung des Enteignungsverfahrens an sich richten, sind vom Präsidenten der Schätzungskommission zu Recht ebenfalls ins Einspracheverfahren verwiesen bzw. abgewiesen worden. Der unter Hinweis auf BGE 100 Ib 187 erhobene Einwand, die Planauflage sei mangels eines genehmigten Ausführungsprojektes zumindest verfrüht, geht deshalb fehl, weil sich das fragliche Urteil ausschliesslich auf Expropriationsverfahren für den Nationalstrassenbau bezieht. Das Nationalstrassengesetz sieht für den Landerwerb eine Sonderregelung vor, indem das Einsprache- und Plangenehmigungsverfahren einerseits und das eigentliche Enteignungsverfahren andererseits nicht nebeneinander, sondern nacheinander durchzuführen sind und das zweite erst bei Vorliegen des genehmigten Ausführungsprojektes eingeleitet werden darf ( Art. 39 NSG ; BGE 99 Ib 490 ff., BGE 106 Ib 21 mit Verweisungen). Für den Landerwerb zum Bau militärischer Anlagen besteht eine solche Sondervorschrift nicht. BGE 109 Ib 130 S. 136 Dem von ihnen selbst zitierten Urteil hätten die Beschwerdeführer auch entnehmen können, dass dem Präsidenten der Schätzungskommission die Befugnis fehlt, ein Enteignungsverfahren zu sistieren oder gar aufzuheben, falls sich die Möglichkeit einer erneuten Überprüfung des Projektes zeigt ( BGE 100 Ib 189 ). Daran ändert auch die - ebenfalls angerufene - Rechtsprechung nichts, wonach für die künftige Erweiterung eines Werkes nur enteignet werden darf, wenn der Bedarf mit Bestimmtheit voraussehbar ist und die Realisierung des Werkes mit einiger Sicherheit feststeht (vgl. BGE 98 Ib 417 ff.). Diese Voraussetzungen gelten für die vorsorgliche Enteignung ( Art. 4 lit. a EntG ) und tragen dem Umstand Rechnung, dass der Enteigner in diesem Falle der Pflicht zur Einreichung eines Werkplanes enthoben ist ( Art. 27 Abs. 3 EntG ). Zudem ist der Einwand, es fehle ein konkretes Projekt oder dessen Verwirklichung sei zu wenig sicher, ebenfalls im Einspracheverfahren zu erheben. Eine Aussetzung des Verfahrens in Anwendung von Art. 51 EntG wird übrigens von den Beschwerdeführern nicht verlangt und fiele schon deshalb ausser Betracht, weil sie erst nach Ablauf der Eingabefrist angeordnet werden könnte.</w:t>
      </w:r>
    </w:p>
    <w:p>
      <w:r>
        <w:rPr>
          <w:b/>
        </w:rPr>
        <w:t>E. 4</w:t>
      </w:r>
    </w:p>
    <w:p>
      <w:r>
        <w:t>Aus dem angefochtenen Entscheid geht hervor, dass der Präsident der Schätzungskommission zunächst glaubte, von einer Aussteckung im Sinne von Art. 28 EntG absehen zu können. Tatsächlich sind an sich Fälle denkbar, in denen sich eine Aussteckung erübrigt, und lassen verschiedene kantonale Enteignungsgesetze entsprechende Ausnahmen zu (vgl. etwa Art. 40 des bernischen Enteignungsgesetzes vom 3. Oktober 1965, Art. 23 des Enteignungsgesetzes des Kantons Tessin vom 8. März 1971 und § 21 des Enteignungsgesetzes des Kantons Basel-Stadt vom 26. Juni 1974). Das Bundesgesetz über die Enteignung schreibt indessen die Aussteckung in jedem Falle vor, während auf die Aufstellung von Profilen, wo nicht erforderlich, verzichtet werden kann. Gegen die nachträglich angeordnete Aussteckung wenden die Beschwerdeführer zunächst ein, diese sei ungenügend, da die Lage und Anordnung von festen Einrichtungen wie Stellungen, Zielanlagen und Sicherheitsvorrichtungen nicht markiert würden; ausserdem müsste auch die Höhe der als Schiesspodeste vorgesehenen Erdwälle sowie der geplanten Kasernenbauten durch Profile angegeben werden. a) In rein tatsächlicher Hinsicht ist zunächst festzuhalten, dass es sich bei den sog. Schiesspodesten, wie aus der Vernehmlassung des EMD hervorgeht, lediglich um kleinere Erdaufschüttungen BGE 109 Ib 130 S. 137 handelt, bei deren Ausgestaltung auch den Bedürfnissen des Naturschutzes Rechnung getragen werden wird. Das EMD sichert im weiteren zu, dass nicht nur die eigentlichen Gebäude, sondern auch die im Schiessgelände vorgesehenen Bauten wie Stellungen und Zielanlagen ausgesteckt würden. b) Zweck der Aussteckung ist, wie in Art. 28 EntG umschrieben, die durch das Werk bedingten Veränderungen im Gelände offenkundig zu machen und damit den Werkplan, aus dem Art, Umfang und Lage des Werkes, Sicherheitszonen und weitere Vorkehren ersichtlich sein müssen ( Art. 27 Abs. 1 EntG ), zu veranschaulichen und zu verdeutlichen. Plan und Aussteckung bilden in diesem Sinne ein Ganzes, das Instrumentarium, anhand dessen sich der Private über das Werk und seine Auswirkungen ein Bild machen kann. Nur wenn Pläne und Aussteckung nicht genügen, um die Einwirkungen auf die nicht enteigneten Teile und Nachbargrundstücke sowie auf die öffentlichen Wege und Einrichtungen beurteilen zu können, sind nach Art. 28 EntG auch Profile aufzustellen. c) Den Beschwerdeführern ist darin zuzustimmen, dass es technisch durchaus möglich wäre, mehr als angeordnet auszustecken und auch Profile aufzustellen. In Anbetracht dessen, dass neben dem Übersichtsplan 1:10'000 und dem Detailplan 1:2000 auch massstäbliche Modelle des Kasernenareals und des Aufklärungsgeländes aufgelegt worden sind, darf jedoch davon ausgegangen werden, dass diese Unterlagen und die angeordnete Aussteckung den Betroffenen ein genügendes Bild über das Werk verschaffen und es ihnen ermöglichen, ihre Rechte im jetzigen Zeitpunkt des Verfahrens wirksam zu verteidigen, d.h. ihre Einsprachen gegen das Werk in Kenntnis der Sache vorzubringen und allfällige Entschädigungsforderungen zu begründen ( Art. 35 und 36 EntG ). Übrigens ergibt sich aus der Beschwerde, dass nicht so sehr die geplanten Bauten an sich Anlass zu Befürchtungen geben, sondern der zukünftige Betrieb des Waffenplatzes und die mit diesem verbundenen Immissionen. So verständlich jedoch der Wunsch auch ist, genaue Kenntnis über die zu erwartenden Beeinträchtigungen zu erlangen und ihnen zu wehren, so wenig kann ihm wohl durch das Aufstellen zusätzlicher Pflöcke und von Profilen entsprochen werden. Vielmehr werden die Beschwerdeführer nicht nur an der Einigungsverhandlung, sondern vor allem im Einspracheverfahren vor dem zuständigen Departement über die sie betreffenden Fragen eingehend zu informieren sein, werden ihnen die Unterlagen, BGE 109 Ib 130 S. 138 die nicht Gegenstand der Planauflage bilden, vorzulegen sein und wird ihnen in Anwendung des Verwaltungsverfahrensgesetzes Gelegenheit zu bieten sein, zu allen sich nicht schon aus den aufgelegten Akten ergebenden Gesichtspunkten Stellung zu nehmen. d) Im übrigen beklagen sich die Beschwerdeführer zu Unrecht darüber, dass der Präsident der Schätzungskommission mit dem Enteigner vor der Planauflage Rücksprache nahm, ohne gleichzeitig auch die Enteigneten anzuhören. Der Präsident hat die ihm vom Enteigner eingereichten Pläne und Verzeichnisse sowie die Aussteckung von Amtes wegen zu prüfen. Zeigen sich Mängel, so ladet er das Unternehmen zu den erforderlichen Abänderungen und Ergänzungen ein. Kontakte mit dem Enteigner sind also unvermeidlich, wenn der Schätzungskommissions-Präsident die ihm vom Gesetzgeber auferlegten Pflichten erfüllen will. Die Enteigneten sind dagegen zu dieser Vorprüfung nicht beizuziehen; ihre Rechte bleiben durch die Möglichkeit gewahrt, im Planauflageverfahren Beschwerde wegen Verletzung von Art. 28 EntG zu führen (vgl. Art. 30 Abs. 4 EntG , Art. 16 der Verordnung über die eidgenössischen Schätzungskommissionen). Von einer Verletzung von Art. 6 Abs. 1 EMRK kann deshalb keine Rede sein.</w:t>
      </w:r>
    </w:p>
    <w:p>
      <w:r>
        <w:rPr>
          <w:b/>
        </w:rPr>
        <w:t>E. 5</w:t>
      </w:r>
    </w:p>
    <w:p>
      <w:r>
        <w:t>Gemäss Art. 28 EntG sind die Aussteckung und, sofern notwendig, das Aufstellen der Profile vor der Auflage der Pläne und dem Beginn der Eingabefrist vorzunehmen. Der Sinn dieser Bestimmung ist klar: Bilden Planauflage und Aussteckung gemeinsam Grundlage und Voraussetzung für die Eingabe der Privaten, so haben sie "Hand in Hand zu gehen" (Botschaft des Bundesrates vom 21. Juni 1926, BBl 1926 II S. 43), müssen also gleichzeitig erfolgen. Nach Art. 16 der Verordnung für die eidgenössischen Schätzungskommissionen vom 24. April 1972 kann jeder Enteignete, wenn der Enteigner die Bestimmungen von Art. 28 EntG nicht beachtet, bis zur Einigungsverhandlung beim Präsidenten Beschwerde führen. Aus dieser Vorschrift ist im angefochtenen Entscheid abgeleitet worden, die Nichtvornahme der Aussteckung beeinflusse die Gültigkeit der Planauflage nicht, sondern führe nur dazu, dass die Enteigneten auch nach Ablauf der Eingabefrist noch Begehren stellen könnten. Diese Auffassung ist jedoch nicht zu teilen. Wohl wird in der Regel eine mangelhafte Aussteckung nicht die Nichtigkeit des Planauflageverfahrens zur Folge haben und kann eine entsprechende Rüge, die nicht rechtzeitig vor dem Präsidenten der Schätzungskommission oder vor Bundesgericht erhoben worden BGE 109 Ib 130 S. 139 ist, im Einspracheverfahren nicht mehr zugelassen werden (vgl. nicht publ. Entscheid vom 30. Juni 1982 i.S. Häfele E. 2). Hier ist indessen die Aussteckung nicht fehlerhaft, sondern überhaupt nicht vorgenommen worden. In solchen Fällen rechtfertigt es sich, da Pläne und Aussteckung in gewissem Sinne eine Einheit bilden, analog der Bestimmung von Art. 30 Abs. 4 EntG vorzugehen. Demnach ist die Planauflage auch dann zu wiederholen bzw. eine neue Eingabefrist anzusetzen, wenn durch eine unvollständige Aussteckung und deren Berichtigung die Interessen von Enteigneten wesentlich berührt werden. Dass hier die Interessen der Enteigneten durch die nachträgliche Vornahme der zunächst vollständig fehlenden Aussteckung erheblich betroffen werden, steht ausser Frage. In teilweiser Gutheissung der Beschwerde ist daher der angefochtene Entscheid in dem Sinne abzuändern, dass die Planauflage nach Kontrolle der Aussteckung durch den Präsidenten der Schätzungskommission unter erneuter öffentlicher Bekanntmachung und persönlicher Benachrichtigung der in Art. 31 EntG genannten Entschädigungsberechtigten um 30 Tage zu verlängern ist. Sollte die Auflagefrist schon abgelaufen sein, ist eine neue Planauflage anzuordnen; bereits eingereichte Eingaben sind indessen, um Formalismus zu vermeiden, von Amtes wegen zu behandeln und brauchen nicht erneuert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